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Ardenne Prevoyante : Provisioning Request Form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5085"/>
        <w:tblGridChange w:id="0">
          <w:tblGrid>
            <w:gridCol w:w="3780"/>
            <w:gridCol w:w="508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2060"/>
                <w:sz w:val="18"/>
                <w:szCs w:val="18"/>
                <w:rtl w:val="0"/>
              </w:rPr>
              <w:t xml:space="preserve"> Champ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2060"/>
                <w:sz w:val="18"/>
                <w:szCs w:val="18"/>
                <w:rtl w:val="0"/>
              </w:rPr>
              <w:t xml:space="preserve">Valeur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Type de demande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color w:val="00206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Nouvel utilisateur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color w:val="002060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Changement pour une extension existant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Extension (*)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si vide Fuzer peut choisir l’extension avec la nomenclature suivante 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ind w:left="720" w:hanging="360"/>
              <w:contextualSpacing w:val="1"/>
              <w:rPr>
                <w:color w:val="1f497d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If extension reacheable from an external number, the extension should start with 3xx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ind w:left="720" w:hanging="360"/>
              <w:contextualSpacing w:val="1"/>
              <w:rPr>
                <w:color w:val="1f497d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If extension not reachable from an external number, the extension should start with 7xx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Adresse email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Adresse Mac (demander l’IT)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Modèle de téléphone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Département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color w:val="1f497d"/>
                <w:sz w:val="18"/>
                <w:szCs w:val="18"/>
                <w:rtl w:val="0"/>
              </w:rPr>
              <w:t xml:space="preserve">Extension du departement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Groupe(s) dans lequel il/elle fera partie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Pex ComptaSpécifique/comptaGroupe/comptaOverflow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compte Connect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OUI/NON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numéro d’appel vers l’extérieur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numéro d’appel vers lui (si joignable)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bouton prio NPrio Logout (template)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color w:val="00206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contextualSpacing w:val="0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color w:val="1f497d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5085"/>
        <w:tblGridChange w:id="0">
          <w:tblGrid>
            <w:gridCol w:w="3780"/>
            <w:gridCol w:w="508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1f497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Profile Parameter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1f497d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119688" cy="5046249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9688" cy="50462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Attention 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Team = extension du departement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alternative number = 12345&lt;ext departement&gt;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342930" cy="17097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2930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fffff"/>
    </w:tc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cPr>
      <w:shd w:fill="ffffff"/>
    </w:tc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